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1441" w:firstLineChars="400"/>
        <w:jc w:val="both"/>
        <w:textAlignment w:val="auto"/>
        <w:outlineLvl w:val="9"/>
        <w:rPr>
          <w:rFonts w:hint="eastAsia" w:ascii="华文楷体" w:hAnsi="华文楷体" w:eastAsia="华文楷体" w:cs="华文楷体"/>
          <w:b/>
          <w:bCs/>
          <w:sz w:val="36"/>
          <w:szCs w:val="36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eastAsia="zh-CN"/>
        </w:rPr>
        <w:t>指定</w:t>
      </w:r>
      <w:bookmarkStart w:id="0" w:name="_GoBack"/>
      <w:bookmarkEnd w:id="0"/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申报出版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eastAsia="zh-CN"/>
        </w:rPr>
        <w:t>机构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名单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eastAsia="zh-CN"/>
        </w:rPr>
        <w:t>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center"/>
        <w:textAlignment w:val="auto"/>
        <w:outlineLvl w:val="9"/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(排名不分先后)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人民出版社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010-84095093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上海人民出版社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021-63507273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学习出版社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010-66061343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上海古籍出版社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021-64371213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中国社会科学出版社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010-64070675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北京大学出版社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010-62752032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商务印书馆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010-65219183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北京师范大学出版社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010-56793702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中华书局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010-63275256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中国人民大学出版社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010-62515721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人民文学出版社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010-65253967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军事科学出版社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010-55475288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社会科学文献出版社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010-64070675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高等教育出版社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010-58581656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科学出版社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010-64009011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中央编译出版社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010-52612387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1280" w:firstLineChars="4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法律出版社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010-83938200</w:t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